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：   </w:t>
      </w:r>
    </w:p>
    <w:p>
      <w:pPr>
        <w:jc w:val="center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第三届福建省青年志愿服务项目大赛优秀项目培育工作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评选结果公示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校赛金奖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：</w:t>
      </w:r>
    </w:p>
    <w:p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国脉信息学院《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禁毒拒毒，青春聚力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国脉信息学院：《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壹小时亲情陪伴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校赛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银奖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法学院：《社会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法律咨询与援助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海峡工学院：《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星光小学支教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生态环境与城市建设学院：《七彩课堂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校赛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铜奖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：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机械与汽车工程学院：《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华硕e创公益宣传志愿服务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信息科学与工程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家电义务维修队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数理学院：《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书香伴我行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土木工程学院：《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爱我熊猫保我国宝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材料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科学与工程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关爱老人献爱心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>
      <w:pPr>
        <w:numPr>
          <w:ilvl w:val="0"/>
          <w:numId w:val="0"/>
        </w:numPr>
        <w:ind w:firstLine="592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生态环境与城市建设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《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</w:rPr>
        <w:t>行悦盲人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eastAsia="zh-CN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1A439C"/>
    <w:rsid w:val="4EFC0ECB"/>
    <w:rsid w:val="501E5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都是酸奶何必装特仑苏/</cp:lastModifiedBy>
  <dcterms:modified xsi:type="dcterms:W3CDTF">2018-09-17T04:58:29Z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